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AE0F1" w14:textId="56480AEF" w:rsidR="00D912A2" w:rsidRPr="00D912A2" w:rsidRDefault="00D912A2" w:rsidP="00D912A2">
      <w:pPr>
        <w:shd w:val="clear" w:color="auto" w:fill="A6A6A6" w:themeFill="background1" w:themeFillShade="A6"/>
        <w:jc w:val="center"/>
        <w:rPr>
          <w:rFonts w:ascii="Arial Nova" w:hAnsi="Arial Nova" w:cs="AngsanaUPC"/>
          <w:color w:val="FFFFFF" w:themeColor="background1"/>
          <w:sz w:val="28"/>
          <w:szCs w:val="28"/>
        </w:rPr>
      </w:pPr>
      <w:r w:rsidRPr="00D912A2">
        <w:rPr>
          <w:rFonts w:ascii="Arial Nova" w:hAnsi="Arial Nova" w:cs="AngsanaUPC"/>
          <w:color w:val="FFFFFF" w:themeColor="background1"/>
          <w:sz w:val="28"/>
          <w:szCs w:val="28"/>
        </w:rPr>
        <w:t xml:space="preserve">KETTERING TOWN COUNCIL </w:t>
      </w:r>
    </w:p>
    <w:p w14:paraId="24D85385" w14:textId="3977BC10" w:rsidR="00D912A2" w:rsidRDefault="00D912A2" w:rsidP="00D912A2">
      <w:pPr>
        <w:shd w:val="clear" w:color="auto" w:fill="A6A6A6" w:themeFill="background1" w:themeFillShade="A6"/>
        <w:jc w:val="center"/>
        <w:rPr>
          <w:rFonts w:ascii="Arial Nova" w:hAnsi="Arial Nova" w:cs="AngsanaUPC"/>
          <w:color w:val="FFFFFF" w:themeColor="background1"/>
          <w:sz w:val="28"/>
          <w:szCs w:val="28"/>
        </w:rPr>
      </w:pPr>
      <w:r w:rsidRPr="00D912A2">
        <w:rPr>
          <w:rFonts w:ascii="Arial Nova" w:hAnsi="Arial Nova" w:cs="AngsanaUPC"/>
          <w:color w:val="FFFFFF" w:themeColor="background1"/>
          <w:sz w:val="28"/>
          <w:szCs w:val="28"/>
        </w:rPr>
        <w:t xml:space="preserve">REPORT </w:t>
      </w:r>
      <w:r>
        <w:rPr>
          <w:rFonts w:ascii="Arial Nova" w:hAnsi="Arial Nova" w:cs="AngsanaUPC"/>
          <w:color w:val="FFFFFF" w:themeColor="background1"/>
          <w:sz w:val="28"/>
          <w:szCs w:val="28"/>
        </w:rPr>
        <w:t xml:space="preserve">FOR </w:t>
      </w:r>
      <w:r w:rsidR="00E641B4">
        <w:rPr>
          <w:rFonts w:ascii="Arial Nova" w:hAnsi="Arial Nova" w:cs="AngsanaUPC"/>
          <w:color w:val="FFFFFF" w:themeColor="background1"/>
          <w:sz w:val="28"/>
          <w:szCs w:val="28"/>
        </w:rPr>
        <w:t xml:space="preserve">INFORMATION </w:t>
      </w:r>
      <w:r>
        <w:rPr>
          <w:rFonts w:ascii="Arial Nova" w:hAnsi="Arial Nova" w:cs="AngsanaUPC"/>
          <w:color w:val="FFFFFF" w:themeColor="background1"/>
          <w:sz w:val="28"/>
          <w:szCs w:val="28"/>
        </w:rPr>
        <w:t xml:space="preserve"> </w:t>
      </w:r>
    </w:p>
    <w:p w14:paraId="68B7B511" w14:textId="5F9D2227" w:rsidR="002E0927" w:rsidRPr="00D912A2" w:rsidRDefault="002E0927" w:rsidP="00D912A2">
      <w:pPr>
        <w:shd w:val="clear" w:color="auto" w:fill="A6A6A6" w:themeFill="background1" w:themeFillShade="A6"/>
        <w:jc w:val="center"/>
        <w:rPr>
          <w:rFonts w:ascii="Arial Nova" w:hAnsi="Arial Nova" w:cs="AngsanaUPC"/>
          <w:color w:val="FFFFFF" w:themeColor="background1"/>
          <w:sz w:val="28"/>
          <w:szCs w:val="28"/>
        </w:rPr>
      </w:pPr>
      <w:r>
        <w:rPr>
          <w:rFonts w:ascii="Arial Nova" w:hAnsi="Arial Nova" w:cs="AngsanaUPC"/>
          <w:color w:val="FFFFFF" w:themeColor="background1"/>
          <w:sz w:val="28"/>
          <w:szCs w:val="28"/>
        </w:rPr>
        <w:t>Item No:-</w:t>
      </w:r>
      <w:r w:rsidR="001C7EF6">
        <w:rPr>
          <w:rFonts w:ascii="Arial Nova" w:hAnsi="Arial Nova" w:cs="AngsanaUPC"/>
          <w:color w:val="FFFFFF" w:themeColor="background1"/>
          <w:sz w:val="28"/>
          <w:szCs w:val="28"/>
        </w:rPr>
        <w:t xml:space="preserve"> FC21/</w:t>
      </w:r>
      <w:r w:rsidR="00E641B4">
        <w:rPr>
          <w:rFonts w:ascii="Arial Nova" w:hAnsi="Arial Nova" w:cs="AngsanaUPC"/>
          <w:color w:val="FFFFFF" w:themeColor="background1"/>
          <w:sz w:val="28"/>
          <w:szCs w:val="28"/>
        </w:rPr>
        <w:t>101</w:t>
      </w:r>
    </w:p>
    <w:p w14:paraId="42F81696" w14:textId="6E54302D" w:rsidR="00D912A2" w:rsidRDefault="00D912A2" w:rsidP="00D912A2">
      <w:pPr>
        <w:rPr>
          <w:rFonts w:ascii="Arial Nova" w:hAnsi="Arial Nova" w:cs="AngsanaUPC"/>
          <w:sz w:val="28"/>
          <w:szCs w:val="28"/>
        </w:rPr>
      </w:pPr>
    </w:p>
    <w:p w14:paraId="2EC92389" w14:textId="0AE2D1B9" w:rsidR="00D912A2" w:rsidRDefault="00D912A2" w:rsidP="00D91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Nova" w:hAnsi="Arial Nova" w:cs="AngsanaUPC"/>
          <w:sz w:val="28"/>
          <w:szCs w:val="28"/>
        </w:rPr>
      </w:pPr>
      <w:r>
        <w:rPr>
          <w:rFonts w:ascii="Arial Nova" w:hAnsi="Arial Nova" w:cs="AngsanaUPC"/>
          <w:sz w:val="28"/>
          <w:szCs w:val="28"/>
        </w:rPr>
        <w:t xml:space="preserve">Committee:- </w:t>
      </w:r>
      <w:r w:rsidR="00C96962">
        <w:rPr>
          <w:rFonts w:ascii="Arial Nova" w:hAnsi="Arial Nova" w:cs="AngsanaUPC"/>
          <w:sz w:val="28"/>
          <w:szCs w:val="28"/>
        </w:rPr>
        <w:tab/>
      </w:r>
      <w:r w:rsidR="00C96962">
        <w:rPr>
          <w:rFonts w:ascii="Arial Nova" w:hAnsi="Arial Nova" w:cs="AngsanaUPC"/>
          <w:sz w:val="28"/>
          <w:szCs w:val="28"/>
        </w:rPr>
        <w:tab/>
      </w:r>
      <w:r w:rsidR="003C64AF">
        <w:rPr>
          <w:rFonts w:ascii="Arial Nova" w:hAnsi="Arial Nova" w:cs="AngsanaUPC"/>
          <w:sz w:val="28"/>
          <w:szCs w:val="28"/>
        </w:rPr>
        <w:t xml:space="preserve">Finance and Governance Committee </w:t>
      </w:r>
      <w:r w:rsidR="00C96962">
        <w:rPr>
          <w:rFonts w:ascii="Arial Nova" w:hAnsi="Arial Nova" w:cs="AngsanaUPC"/>
          <w:sz w:val="28"/>
          <w:szCs w:val="28"/>
        </w:rPr>
        <w:t xml:space="preserve"> </w:t>
      </w:r>
    </w:p>
    <w:p w14:paraId="42883860" w14:textId="696D0B7F" w:rsidR="00D912A2" w:rsidRDefault="00D912A2" w:rsidP="00D91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Nova" w:hAnsi="Arial Nova" w:cs="AngsanaUPC"/>
          <w:sz w:val="28"/>
          <w:szCs w:val="28"/>
        </w:rPr>
      </w:pPr>
      <w:r>
        <w:rPr>
          <w:rFonts w:ascii="Arial Nova" w:hAnsi="Arial Nova" w:cs="AngsanaUPC"/>
          <w:sz w:val="28"/>
          <w:szCs w:val="28"/>
        </w:rPr>
        <w:t xml:space="preserve">Date:- </w:t>
      </w:r>
      <w:r w:rsidR="00C96962">
        <w:rPr>
          <w:rFonts w:ascii="Arial Nova" w:hAnsi="Arial Nova" w:cs="AngsanaUPC"/>
          <w:sz w:val="28"/>
          <w:szCs w:val="28"/>
        </w:rPr>
        <w:tab/>
      </w:r>
      <w:r w:rsidR="00C96962">
        <w:rPr>
          <w:rFonts w:ascii="Arial Nova" w:hAnsi="Arial Nova" w:cs="AngsanaUPC"/>
          <w:sz w:val="28"/>
          <w:szCs w:val="28"/>
        </w:rPr>
        <w:tab/>
      </w:r>
      <w:r w:rsidR="00C96962">
        <w:rPr>
          <w:rFonts w:ascii="Arial Nova" w:hAnsi="Arial Nova" w:cs="AngsanaUPC"/>
          <w:sz w:val="28"/>
          <w:szCs w:val="28"/>
        </w:rPr>
        <w:tab/>
      </w:r>
      <w:r w:rsidR="001C7EF6">
        <w:rPr>
          <w:rFonts w:ascii="Arial Nova" w:hAnsi="Arial Nova" w:cs="AngsanaUPC"/>
          <w:sz w:val="28"/>
          <w:szCs w:val="28"/>
        </w:rPr>
        <w:t xml:space="preserve"> </w:t>
      </w:r>
      <w:r w:rsidR="0072793E">
        <w:rPr>
          <w:rFonts w:ascii="Arial Nova" w:hAnsi="Arial Nova" w:cs="AngsanaUPC"/>
          <w:sz w:val="28"/>
          <w:szCs w:val="28"/>
        </w:rPr>
        <w:t>14</w:t>
      </w:r>
      <w:r w:rsidR="0072793E" w:rsidRPr="0072793E">
        <w:rPr>
          <w:rFonts w:ascii="Arial Nova" w:hAnsi="Arial Nova" w:cs="AngsanaUPC"/>
          <w:sz w:val="28"/>
          <w:szCs w:val="28"/>
          <w:vertAlign w:val="superscript"/>
        </w:rPr>
        <w:t>th</w:t>
      </w:r>
      <w:r w:rsidR="0072793E">
        <w:rPr>
          <w:rFonts w:ascii="Arial Nova" w:hAnsi="Arial Nova" w:cs="AngsanaUPC"/>
          <w:sz w:val="28"/>
          <w:szCs w:val="28"/>
        </w:rPr>
        <w:t xml:space="preserve"> April 2022</w:t>
      </w:r>
    </w:p>
    <w:p w14:paraId="667B7122" w14:textId="11DF0570" w:rsidR="00D912A2" w:rsidRDefault="00D912A2" w:rsidP="00D91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Nova" w:hAnsi="Arial Nova" w:cs="AngsanaUPC"/>
          <w:sz w:val="28"/>
          <w:szCs w:val="28"/>
        </w:rPr>
      </w:pPr>
      <w:r>
        <w:rPr>
          <w:rFonts w:ascii="Arial Nova" w:hAnsi="Arial Nova" w:cs="AngsanaUPC"/>
          <w:sz w:val="28"/>
          <w:szCs w:val="28"/>
        </w:rPr>
        <w:t>Author:-</w:t>
      </w:r>
      <w:r>
        <w:rPr>
          <w:rFonts w:ascii="Arial Nova" w:hAnsi="Arial Nova" w:cs="AngsanaUPC"/>
          <w:sz w:val="28"/>
          <w:szCs w:val="28"/>
        </w:rPr>
        <w:tab/>
      </w:r>
      <w:r>
        <w:rPr>
          <w:rFonts w:ascii="Arial Nova" w:hAnsi="Arial Nova" w:cs="AngsanaUPC"/>
          <w:sz w:val="28"/>
          <w:szCs w:val="28"/>
        </w:rPr>
        <w:tab/>
        <w:t xml:space="preserve"> </w:t>
      </w:r>
      <w:r w:rsidR="00EB2060">
        <w:rPr>
          <w:rFonts w:ascii="Arial Nova" w:hAnsi="Arial Nova" w:cs="AngsanaUPC"/>
          <w:sz w:val="28"/>
          <w:szCs w:val="28"/>
        </w:rPr>
        <w:tab/>
        <w:t xml:space="preserve">Martin Hammond, Clerk </w:t>
      </w:r>
    </w:p>
    <w:p w14:paraId="42706075" w14:textId="536A9FF6" w:rsidR="00D912A2" w:rsidRDefault="00D912A2" w:rsidP="00E64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835" w:hanging="2835"/>
        <w:rPr>
          <w:rFonts w:ascii="Arial Nova" w:hAnsi="Arial Nova" w:cs="AngsanaUPC"/>
          <w:sz w:val="28"/>
          <w:szCs w:val="28"/>
        </w:rPr>
      </w:pPr>
      <w:r>
        <w:rPr>
          <w:rFonts w:ascii="Arial Nova" w:hAnsi="Arial Nova" w:cs="AngsanaUPC"/>
          <w:sz w:val="28"/>
          <w:szCs w:val="28"/>
        </w:rPr>
        <w:t xml:space="preserve">Report Title:-        </w:t>
      </w:r>
      <w:r w:rsidR="00EB2060">
        <w:rPr>
          <w:rFonts w:ascii="Arial Nova" w:hAnsi="Arial Nova" w:cs="AngsanaUPC"/>
          <w:sz w:val="28"/>
          <w:szCs w:val="28"/>
        </w:rPr>
        <w:tab/>
      </w:r>
      <w:r w:rsidR="0072793E">
        <w:rPr>
          <w:rFonts w:ascii="Arial Nova" w:hAnsi="Arial Nova" w:cs="AngsanaUPC"/>
          <w:sz w:val="28"/>
          <w:szCs w:val="28"/>
        </w:rPr>
        <w:t xml:space="preserve">End of year budget statement, accruals and      </w:t>
      </w:r>
      <w:r w:rsidR="00E641B4">
        <w:rPr>
          <w:rFonts w:ascii="Arial Nova" w:hAnsi="Arial Nova" w:cs="AngsanaUPC"/>
          <w:sz w:val="28"/>
          <w:szCs w:val="28"/>
        </w:rPr>
        <w:t xml:space="preserve"> </w:t>
      </w:r>
      <w:r w:rsidR="0072793E">
        <w:rPr>
          <w:rFonts w:ascii="Arial Nova" w:hAnsi="Arial Nova" w:cs="AngsanaUPC"/>
          <w:sz w:val="28"/>
          <w:szCs w:val="28"/>
        </w:rPr>
        <w:t xml:space="preserve">annual governance statement </w:t>
      </w:r>
    </w:p>
    <w:p w14:paraId="09238A60" w14:textId="1380C7F7" w:rsidR="00A02F96" w:rsidRPr="003B54B9" w:rsidRDefault="00F507C5" w:rsidP="003B5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Nova" w:hAnsi="Arial Nova" w:cs="AngsanaUPC"/>
          <w:sz w:val="28"/>
          <w:szCs w:val="28"/>
        </w:rPr>
      </w:pPr>
      <w:r>
        <w:rPr>
          <w:rFonts w:ascii="Arial Nova" w:hAnsi="Arial Nova" w:cs="AngsanaUPC"/>
          <w:sz w:val="28"/>
          <w:szCs w:val="28"/>
        </w:rPr>
        <w:t xml:space="preserve">Wards Affected:-        </w:t>
      </w:r>
      <w:r w:rsidR="00A02F96" w:rsidRPr="00A02F96">
        <w:rPr>
          <w:rFonts w:eastAsiaTheme="minorHAnsi"/>
          <w:b/>
          <w:bCs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43810B8D" wp14:editId="48A4FF9B">
                <wp:simplePos x="0" y="0"/>
                <wp:positionH relativeFrom="column">
                  <wp:posOffset>3610</wp:posOffset>
                </wp:positionH>
                <wp:positionV relativeFrom="paragraph">
                  <wp:posOffset>56132</wp:posOffset>
                </wp:positionV>
                <wp:extent cx="1080" cy="1800"/>
                <wp:effectExtent l="38100" t="57150" r="56515" b="5588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080" cy="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5E7042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-.4pt;margin-top:3.8pt;width:1.5pt;height:1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">
                <v:imagedata r:id="rId9" o:title=""/>
              </v:shape>
            </w:pict>
          </mc:Fallback>
        </mc:AlternateContent>
      </w:r>
      <w:r w:rsidR="00A02F96" w:rsidRPr="00A02F96">
        <w:rPr>
          <w:rFonts w:eastAsiaTheme="minorHAnsi"/>
          <w:b/>
          <w:bCs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CEEBFE9" wp14:editId="6E454F58">
                <wp:simplePos x="0" y="0"/>
                <wp:positionH relativeFrom="column">
                  <wp:posOffset>-38735</wp:posOffset>
                </wp:positionH>
                <wp:positionV relativeFrom="paragraph">
                  <wp:posOffset>106680</wp:posOffset>
                </wp:positionV>
                <wp:extent cx="47250" cy="21680"/>
                <wp:effectExtent l="57150" t="38100" r="48260" b="5461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47250" cy="21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8A58C1" id="Ink 3" o:spid="_x0000_s1026" type="#_x0000_t75" style="position:absolute;margin-left:-3.75pt;margin-top:7.7pt;width:5.1pt;height: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">
                <v:imagedata r:id="rId11" o:title=""/>
              </v:shape>
            </w:pict>
          </mc:Fallback>
        </mc:AlternateContent>
      </w:r>
      <w:r w:rsidR="003D4863">
        <w:rPr>
          <w:rFonts w:ascii="Arial Nova" w:hAnsi="Arial Nova" w:cs="AngsanaUPC"/>
          <w:sz w:val="28"/>
          <w:szCs w:val="28"/>
        </w:rPr>
        <w:t xml:space="preserve"> </w:t>
      </w:r>
      <w:r w:rsidR="00335086">
        <w:rPr>
          <w:rFonts w:ascii="Arial Nova" w:hAnsi="Arial Nova" w:cs="AngsanaUPC"/>
          <w:sz w:val="28"/>
          <w:szCs w:val="28"/>
        </w:rPr>
        <w:t xml:space="preserve"> </w:t>
      </w:r>
      <w:r w:rsidR="001C7EF6">
        <w:rPr>
          <w:rFonts w:ascii="Arial Nova" w:hAnsi="Arial Nova" w:cs="AngsanaUPC"/>
          <w:sz w:val="28"/>
          <w:szCs w:val="28"/>
        </w:rPr>
        <w:t xml:space="preserve">All </w:t>
      </w:r>
    </w:p>
    <w:p w14:paraId="33803714" w14:textId="006A62BA" w:rsidR="00A02F96" w:rsidRPr="00A02F96" w:rsidRDefault="00A02F96" w:rsidP="00A02F96">
      <w:pPr>
        <w:spacing w:before="0" w:after="160" w:line="259" w:lineRule="auto"/>
        <w:ind w:firstLine="360"/>
        <w:rPr>
          <w:rFonts w:eastAsiaTheme="minorHAnsi"/>
          <w:sz w:val="22"/>
          <w:szCs w:val="22"/>
        </w:rPr>
      </w:pPr>
      <w:r w:rsidRPr="00A02F96">
        <w:rPr>
          <w:rFonts w:eastAsiaTheme="minorHAnsi"/>
          <w:sz w:val="22"/>
          <w:szCs w:val="22"/>
        </w:rPr>
        <w:t xml:space="preserve">     </w:t>
      </w:r>
    </w:p>
    <w:p w14:paraId="61AB5CD8" w14:textId="2DAAC70B" w:rsidR="008064EF" w:rsidRDefault="008064EF" w:rsidP="00A02F96">
      <w:pPr>
        <w:numPr>
          <w:ilvl w:val="0"/>
          <w:numId w:val="2"/>
        </w:numPr>
        <w:spacing w:before="0" w:after="160" w:line="259" w:lineRule="auto"/>
        <w:contextualSpacing/>
        <w:rPr>
          <w:rFonts w:eastAsiaTheme="minorHAnsi"/>
          <w:b/>
          <w:bCs/>
          <w:sz w:val="22"/>
          <w:szCs w:val="22"/>
        </w:rPr>
      </w:pPr>
      <w:r>
        <w:rPr>
          <w:rFonts w:eastAsiaTheme="minorHAnsi"/>
          <w:b/>
          <w:bCs/>
          <w:sz w:val="22"/>
          <w:szCs w:val="22"/>
        </w:rPr>
        <w:t xml:space="preserve">Purpose of Report </w:t>
      </w:r>
    </w:p>
    <w:p w14:paraId="257402A6" w14:textId="77777777" w:rsidR="00EB2060" w:rsidRDefault="00EB2060" w:rsidP="00EB2060">
      <w:pPr>
        <w:spacing w:before="0" w:after="160" w:line="259" w:lineRule="auto"/>
        <w:contextualSpacing/>
        <w:rPr>
          <w:rFonts w:eastAsiaTheme="minorHAnsi"/>
          <w:b/>
          <w:bCs/>
          <w:sz w:val="22"/>
          <w:szCs w:val="22"/>
        </w:rPr>
      </w:pPr>
    </w:p>
    <w:p w14:paraId="2457FFB0" w14:textId="6DEC7ACC" w:rsidR="007A2D60" w:rsidRPr="0072793E" w:rsidRDefault="0072793E" w:rsidP="008064EF">
      <w:pPr>
        <w:spacing w:before="0" w:after="160" w:line="259" w:lineRule="auto"/>
        <w:ind w:left="720"/>
        <w:contextualSpacing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To set out the Council’s end of year </w:t>
      </w:r>
      <w:r w:rsidR="00532B78">
        <w:rPr>
          <w:rFonts w:eastAsiaTheme="minorHAnsi"/>
          <w:sz w:val="22"/>
          <w:szCs w:val="22"/>
        </w:rPr>
        <w:t xml:space="preserve">financial </w:t>
      </w:r>
      <w:r>
        <w:rPr>
          <w:rFonts w:eastAsiaTheme="minorHAnsi"/>
          <w:sz w:val="22"/>
          <w:szCs w:val="22"/>
        </w:rPr>
        <w:t>statement</w:t>
      </w:r>
      <w:r w:rsidR="00532B78">
        <w:rPr>
          <w:rFonts w:eastAsiaTheme="minorHAnsi"/>
          <w:sz w:val="22"/>
          <w:szCs w:val="22"/>
        </w:rPr>
        <w:t xml:space="preserve">, report accruals </w:t>
      </w:r>
      <w:r>
        <w:rPr>
          <w:rFonts w:eastAsiaTheme="minorHAnsi"/>
          <w:sz w:val="22"/>
          <w:szCs w:val="22"/>
        </w:rPr>
        <w:t xml:space="preserve"> </w:t>
      </w:r>
      <w:r w:rsidR="00532B78">
        <w:rPr>
          <w:rFonts w:eastAsiaTheme="minorHAnsi"/>
          <w:sz w:val="22"/>
          <w:szCs w:val="22"/>
        </w:rPr>
        <w:t xml:space="preserve">and describe the statutory audit process which </w:t>
      </w:r>
      <w:r w:rsidR="00E641B4">
        <w:rPr>
          <w:rFonts w:eastAsiaTheme="minorHAnsi"/>
          <w:sz w:val="22"/>
          <w:szCs w:val="22"/>
        </w:rPr>
        <w:t xml:space="preserve">applies. </w:t>
      </w:r>
    </w:p>
    <w:p w14:paraId="75617FF4" w14:textId="77777777" w:rsidR="0072793E" w:rsidRDefault="0072793E" w:rsidP="008064EF">
      <w:pPr>
        <w:spacing w:before="0" w:after="160" w:line="259" w:lineRule="auto"/>
        <w:ind w:left="720"/>
        <w:contextualSpacing/>
        <w:rPr>
          <w:rFonts w:eastAsiaTheme="minorHAnsi"/>
          <w:b/>
          <w:bCs/>
          <w:sz w:val="22"/>
          <w:szCs w:val="22"/>
        </w:rPr>
      </w:pPr>
    </w:p>
    <w:p w14:paraId="58CDC891" w14:textId="6BE595A9" w:rsidR="00A02F96" w:rsidRPr="00A02F96" w:rsidRDefault="00A02F96" w:rsidP="00A02F96">
      <w:pPr>
        <w:numPr>
          <w:ilvl w:val="0"/>
          <w:numId w:val="2"/>
        </w:numPr>
        <w:spacing w:before="0" w:after="160" w:line="259" w:lineRule="auto"/>
        <w:contextualSpacing/>
        <w:rPr>
          <w:rFonts w:eastAsiaTheme="minorHAnsi"/>
          <w:b/>
          <w:bCs/>
          <w:sz w:val="22"/>
          <w:szCs w:val="22"/>
        </w:rPr>
      </w:pPr>
      <w:r w:rsidRPr="00A02F96">
        <w:rPr>
          <w:rFonts w:eastAsiaTheme="minorHAnsi"/>
          <w:b/>
          <w:bCs/>
          <w:sz w:val="22"/>
          <w:szCs w:val="22"/>
        </w:rPr>
        <w:t xml:space="preserve">Recommendations </w:t>
      </w:r>
    </w:p>
    <w:p w14:paraId="69943565" w14:textId="77777777" w:rsidR="00A02F96" w:rsidRPr="00A02F96" w:rsidRDefault="00A02F96" w:rsidP="00A02F96">
      <w:pPr>
        <w:spacing w:before="0" w:after="160" w:line="259" w:lineRule="auto"/>
        <w:ind w:left="720"/>
        <w:contextualSpacing/>
        <w:rPr>
          <w:rFonts w:eastAsiaTheme="minorHAnsi"/>
          <w:sz w:val="22"/>
          <w:szCs w:val="22"/>
        </w:rPr>
      </w:pPr>
    </w:p>
    <w:p w14:paraId="7B4A185D" w14:textId="0A1FB2A1" w:rsidR="00B52480" w:rsidRDefault="00E641B4" w:rsidP="00B52480">
      <w:pPr>
        <w:spacing w:before="0" w:after="160" w:line="259" w:lineRule="auto"/>
        <w:ind w:left="720"/>
        <w:contextualSpacing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Members are asked to note the </w:t>
      </w:r>
      <w:r w:rsidR="00C23856">
        <w:rPr>
          <w:rFonts w:eastAsiaTheme="minorHAnsi"/>
          <w:sz w:val="22"/>
          <w:szCs w:val="22"/>
        </w:rPr>
        <w:t xml:space="preserve">financial position. </w:t>
      </w:r>
    </w:p>
    <w:p w14:paraId="5B960B66" w14:textId="77777777" w:rsidR="00E641B4" w:rsidRPr="00B52480" w:rsidRDefault="00E641B4" w:rsidP="00B52480">
      <w:pPr>
        <w:spacing w:before="0" w:after="160" w:line="259" w:lineRule="auto"/>
        <w:ind w:left="720"/>
        <w:contextualSpacing/>
        <w:rPr>
          <w:rFonts w:eastAsiaTheme="minorHAnsi"/>
          <w:sz w:val="22"/>
          <w:szCs w:val="22"/>
        </w:rPr>
      </w:pPr>
    </w:p>
    <w:p w14:paraId="1019232F" w14:textId="77777777" w:rsidR="00A02F96" w:rsidRDefault="00A02F96" w:rsidP="00A02F96">
      <w:pPr>
        <w:numPr>
          <w:ilvl w:val="0"/>
          <w:numId w:val="2"/>
        </w:numPr>
        <w:spacing w:before="0" w:after="160" w:line="259" w:lineRule="auto"/>
        <w:contextualSpacing/>
        <w:rPr>
          <w:rFonts w:eastAsiaTheme="minorHAnsi"/>
          <w:b/>
          <w:bCs/>
          <w:sz w:val="22"/>
          <w:szCs w:val="22"/>
        </w:rPr>
      </w:pPr>
      <w:r w:rsidRPr="00A02F96">
        <w:rPr>
          <w:rFonts w:eastAsiaTheme="minorHAnsi"/>
          <w:b/>
          <w:bCs/>
          <w:sz w:val="22"/>
          <w:szCs w:val="22"/>
        </w:rPr>
        <w:t xml:space="preserve">Information </w:t>
      </w:r>
    </w:p>
    <w:p w14:paraId="394FC4E8" w14:textId="3D26149D" w:rsidR="003739CA" w:rsidRDefault="00C23856" w:rsidP="00EA068E">
      <w:pPr>
        <w:pStyle w:val="ListParagraph"/>
        <w:numPr>
          <w:ilvl w:val="1"/>
          <w:numId w:val="2"/>
        </w:numPr>
        <w:spacing w:before="0" w:after="160" w:line="259" w:lineRule="auto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 Attached as Appendix One is a spreadsheet showing the end of year position</w:t>
      </w:r>
      <w:r w:rsidR="003739CA">
        <w:rPr>
          <w:rFonts w:eastAsiaTheme="minorHAnsi"/>
          <w:sz w:val="22"/>
          <w:szCs w:val="22"/>
        </w:rPr>
        <w:t xml:space="preserve"> for 21/22. </w:t>
      </w:r>
      <w:r w:rsidR="00CC3F14">
        <w:rPr>
          <w:rFonts w:eastAsiaTheme="minorHAnsi"/>
          <w:sz w:val="22"/>
          <w:szCs w:val="22"/>
        </w:rPr>
        <w:t>Once all the income has been received and existing commitments have be</w:t>
      </w:r>
      <w:r w:rsidR="005450EB">
        <w:rPr>
          <w:rFonts w:eastAsiaTheme="minorHAnsi"/>
          <w:sz w:val="22"/>
          <w:szCs w:val="22"/>
        </w:rPr>
        <w:t>en</w:t>
      </w:r>
      <w:r w:rsidR="00CC3F14">
        <w:rPr>
          <w:rFonts w:eastAsiaTheme="minorHAnsi"/>
          <w:sz w:val="22"/>
          <w:szCs w:val="22"/>
        </w:rPr>
        <w:t xml:space="preserve"> paid, the</w:t>
      </w:r>
      <w:r w:rsidR="005450EB">
        <w:rPr>
          <w:rFonts w:eastAsiaTheme="minorHAnsi"/>
          <w:sz w:val="22"/>
          <w:szCs w:val="22"/>
        </w:rPr>
        <w:t>n £</w:t>
      </w:r>
      <w:r w:rsidR="005450EB" w:rsidRPr="003D4863">
        <w:rPr>
          <w:rFonts w:eastAsiaTheme="minorHAnsi"/>
          <w:sz w:val="22"/>
          <w:szCs w:val="22"/>
        </w:rPr>
        <w:t>163</w:t>
      </w:r>
      <w:r w:rsidR="00861BBC">
        <w:rPr>
          <w:rFonts w:eastAsiaTheme="minorHAnsi"/>
          <w:sz w:val="22"/>
          <w:szCs w:val="22"/>
        </w:rPr>
        <w:t>24</w:t>
      </w:r>
      <w:r w:rsidR="005450EB" w:rsidRPr="003D4863">
        <w:rPr>
          <w:rFonts w:eastAsiaTheme="minorHAnsi"/>
          <w:sz w:val="22"/>
          <w:szCs w:val="22"/>
        </w:rPr>
        <w:t xml:space="preserve"> s</w:t>
      </w:r>
      <w:r w:rsidR="005450EB">
        <w:rPr>
          <w:rFonts w:eastAsiaTheme="minorHAnsi"/>
          <w:sz w:val="22"/>
          <w:szCs w:val="22"/>
        </w:rPr>
        <w:t xml:space="preserve">hould be transferred into reserves. </w:t>
      </w:r>
    </w:p>
    <w:p w14:paraId="283CA7EF" w14:textId="77777777" w:rsidR="00DF05E3" w:rsidRDefault="00DF05E3" w:rsidP="00DF05E3">
      <w:pPr>
        <w:pStyle w:val="ListParagraph"/>
        <w:spacing w:before="0" w:after="160" w:line="259" w:lineRule="auto"/>
        <w:rPr>
          <w:rFonts w:eastAsiaTheme="minorHAnsi"/>
          <w:sz w:val="22"/>
          <w:szCs w:val="22"/>
        </w:rPr>
      </w:pPr>
    </w:p>
    <w:p w14:paraId="103332CC" w14:textId="7CDBA372" w:rsidR="00DF05E3" w:rsidRDefault="00DF05E3" w:rsidP="00EA068E">
      <w:pPr>
        <w:pStyle w:val="ListParagraph"/>
        <w:numPr>
          <w:ilvl w:val="1"/>
          <w:numId w:val="2"/>
        </w:numPr>
        <w:spacing w:before="0" w:after="160" w:line="259" w:lineRule="auto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The Council </w:t>
      </w:r>
      <w:r w:rsidRPr="00407FD5">
        <w:rPr>
          <w:rFonts w:eastAsiaTheme="minorHAnsi"/>
          <w:sz w:val="22"/>
          <w:szCs w:val="22"/>
        </w:rPr>
        <w:t>ha</w:t>
      </w:r>
      <w:r w:rsidR="00B93CBE" w:rsidRPr="00407FD5">
        <w:rPr>
          <w:rFonts w:eastAsiaTheme="minorHAnsi"/>
          <w:sz w:val="22"/>
          <w:szCs w:val="22"/>
        </w:rPr>
        <w:t>d</w:t>
      </w:r>
      <w:r w:rsidRPr="00407FD5">
        <w:rPr>
          <w:rFonts w:eastAsiaTheme="minorHAnsi"/>
          <w:sz w:val="22"/>
          <w:szCs w:val="22"/>
        </w:rPr>
        <w:t xml:space="preserve"> </w:t>
      </w:r>
      <w:r w:rsidR="00B93CBE" w:rsidRPr="00407FD5">
        <w:rPr>
          <w:rFonts w:eastAsiaTheme="minorHAnsi"/>
          <w:sz w:val="22"/>
          <w:szCs w:val="22"/>
        </w:rPr>
        <w:t>£</w:t>
      </w:r>
      <w:r w:rsidR="003D4863" w:rsidRPr="00407FD5">
        <w:rPr>
          <w:rFonts w:eastAsiaTheme="minorHAnsi"/>
          <w:sz w:val="22"/>
          <w:szCs w:val="22"/>
        </w:rPr>
        <w:t>337</w:t>
      </w:r>
      <w:r w:rsidR="00861BBC">
        <w:rPr>
          <w:rFonts w:eastAsiaTheme="minorHAnsi"/>
          <w:sz w:val="22"/>
          <w:szCs w:val="22"/>
        </w:rPr>
        <w:t>53</w:t>
      </w:r>
      <w:r w:rsidR="00B93CBE" w:rsidRPr="00407FD5">
        <w:rPr>
          <w:rFonts w:eastAsiaTheme="minorHAnsi"/>
          <w:sz w:val="22"/>
          <w:szCs w:val="22"/>
        </w:rPr>
        <w:t xml:space="preserve"> in its bank account at the end  of the year, </w:t>
      </w:r>
      <w:r w:rsidR="000F50BD" w:rsidRPr="00407FD5">
        <w:rPr>
          <w:rFonts w:eastAsiaTheme="minorHAnsi"/>
          <w:sz w:val="22"/>
          <w:szCs w:val="22"/>
        </w:rPr>
        <w:t xml:space="preserve">to which will need to be added </w:t>
      </w:r>
      <w:r w:rsidR="00407FD5" w:rsidRPr="00407FD5">
        <w:rPr>
          <w:rFonts w:eastAsiaTheme="minorHAnsi"/>
          <w:sz w:val="22"/>
          <w:szCs w:val="22"/>
        </w:rPr>
        <w:t>£179</w:t>
      </w:r>
      <w:r w:rsidR="008E7DA3">
        <w:rPr>
          <w:rFonts w:eastAsiaTheme="minorHAnsi"/>
          <w:sz w:val="22"/>
          <w:szCs w:val="22"/>
        </w:rPr>
        <w:t>42</w:t>
      </w:r>
      <w:r w:rsidR="000F50BD" w:rsidRPr="00407FD5">
        <w:rPr>
          <w:rFonts w:eastAsiaTheme="minorHAnsi"/>
          <w:sz w:val="22"/>
          <w:szCs w:val="22"/>
        </w:rPr>
        <w:t xml:space="preserve"> in income due and  from which £</w:t>
      </w:r>
      <w:r w:rsidR="00407FD5" w:rsidRPr="00407FD5">
        <w:rPr>
          <w:rFonts w:eastAsiaTheme="minorHAnsi"/>
          <w:sz w:val="22"/>
          <w:szCs w:val="22"/>
        </w:rPr>
        <w:t>35371</w:t>
      </w:r>
      <w:r w:rsidR="000F50BD">
        <w:rPr>
          <w:rFonts w:eastAsiaTheme="minorHAnsi"/>
          <w:sz w:val="22"/>
          <w:szCs w:val="22"/>
        </w:rPr>
        <w:t xml:space="preserve"> will need to be deducted to meet </w:t>
      </w:r>
      <w:r w:rsidR="00DB4A05">
        <w:rPr>
          <w:rFonts w:eastAsiaTheme="minorHAnsi"/>
          <w:sz w:val="22"/>
          <w:szCs w:val="22"/>
        </w:rPr>
        <w:t xml:space="preserve">costs which are due. </w:t>
      </w:r>
    </w:p>
    <w:p w14:paraId="57ABB71A" w14:textId="77777777" w:rsidR="00276470" w:rsidRDefault="00276470" w:rsidP="00276470">
      <w:pPr>
        <w:pStyle w:val="ListParagraph"/>
        <w:spacing w:before="0" w:after="160" w:line="259" w:lineRule="auto"/>
        <w:rPr>
          <w:rFonts w:eastAsiaTheme="minorHAnsi"/>
          <w:sz w:val="22"/>
          <w:szCs w:val="22"/>
        </w:rPr>
      </w:pPr>
    </w:p>
    <w:p w14:paraId="2E9143A7" w14:textId="4A64163E" w:rsidR="008664B2" w:rsidRPr="00DA0C17" w:rsidRDefault="003739CA" w:rsidP="008664B2">
      <w:pPr>
        <w:pStyle w:val="ListParagraph"/>
        <w:numPr>
          <w:ilvl w:val="1"/>
          <w:numId w:val="2"/>
        </w:numPr>
        <w:spacing w:before="0" w:after="160" w:line="259" w:lineRule="auto"/>
        <w:rPr>
          <w:rFonts w:eastAsiaTheme="minorHAnsi"/>
          <w:sz w:val="22"/>
          <w:szCs w:val="22"/>
        </w:rPr>
      </w:pPr>
      <w:r w:rsidRPr="00DA0C17">
        <w:rPr>
          <w:rFonts w:eastAsiaTheme="minorHAnsi"/>
          <w:sz w:val="22"/>
          <w:szCs w:val="22"/>
        </w:rPr>
        <w:t>The following</w:t>
      </w:r>
      <w:r w:rsidR="001A3481">
        <w:rPr>
          <w:rFonts w:eastAsiaTheme="minorHAnsi"/>
          <w:sz w:val="22"/>
          <w:szCs w:val="22"/>
        </w:rPr>
        <w:t xml:space="preserve"> table </w:t>
      </w:r>
      <w:r w:rsidR="003B6D9B" w:rsidRPr="00DA0C17">
        <w:rPr>
          <w:rFonts w:eastAsiaTheme="minorHAnsi"/>
          <w:sz w:val="22"/>
          <w:szCs w:val="22"/>
        </w:rPr>
        <w:t xml:space="preserve">– the accruals list – shows </w:t>
      </w:r>
      <w:r w:rsidR="007955DF">
        <w:rPr>
          <w:rFonts w:eastAsiaTheme="minorHAnsi"/>
          <w:sz w:val="22"/>
          <w:szCs w:val="22"/>
        </w:rPr>
        <w:t xml:space="preserve">in detail that which is </w:t>
      </w:r>
      <w:r w:rsidR="003B6D9B" w:rsidRPr="00DA0C17">
        <w:rPr>
          <w:rFonts w:eastAsiaTheme="minorHAnsi"/>
          <w:sz w:val="22"/>
          <w:szCs w:val="22"/>
        </w:rPr>
        <w:t xml:space="preserve"> still to be received and paid out and attributed to the 21/22 financial year. Some of the costs are detailed in the separate report on </w:t>
      </w:r>
      <w:r w:rsidR="00EA4CBB" w:rsidRPr="00DA0C17">
        <w:rPr>
          <w:rFonts w:eastAsiaTheme="minorHAnsi"/>
          <w:sz w:val="22"/>
          <w:szCs w:val="22"/>
        </w:rPr>
        <w:t xml:space="preserve">invoices, and others relate to expected </w:t>
      </w:r>
      <w:r w:rsidR="00DA0C17">
        <w:rPr>
          <w:rFonts w:eastAsiaTheme="minorHAnsi"/>
          <w:sz w:val="22"/>
          <w:szCs w:val="22"/>
        </w:rPr>
        <w:t xml:space="preserve">invoices. </w:t>
      </w:r>
    </w:p>
    <w:p w14:paraId="5D3DDBA8" w14:textId="7988ACE2" w:rsidR="008664B2" w:rsidRPr="008664B2" w:rsidRDefault="008664B2" w:rsidP="008664B2">
      <w:pPr>
        <w:pStyle w:val="ListParagraph"/>
        <w:rPr>
          <w:rFonts w:eastAsiaTheme="minorHAnsi"/>
          <w:sz w:val="22"/>
          <w:szCs w:val="22"/>
        </w:rPr>
      </w:pPr>
    </w:p>
    <w:p w14:paraId="62B6A413" w14:textId="6E8A9053" w:rsidR="00276470" w:rsidRPr="00276470" w:rsidRDefault="006A2CF4" w:rsidP="00276470">
      <w:pPr>
        <w:pStyle w:val="ListParagraph"/>
        <w:rPr>
          <w:rFonts w:eastAsiaTheme="minorHAnsi"/>
          <w:sz w:val="22"/>
          <w:szCs w:val="22"/>
        </w:rPr>
      </w:pPr>
      <w:r w:rsidRPr="006A2CF4">
        <w:rPr>
          <w:noProof/>
        </w:rPr>
        <w:lastRenderedPageBreak/>
        <w:drawing>
          <wp:inline distT="0" distB="0" distL="0" distR="0" wp14:anchorId="3945294A" wp14:editId="290DAC90">
            <wp:extent cx="5731510" cy="272923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2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B5569" w14:textId="77777777" w:rsidR="00ED35CD" w:rsidRDefault="00ED35CD" w:rsidP="00ED35CD">
      <w:pPr>
        <w:pStyle w:val="ListParagraph"/>
        <w:spacing w:before="0" w:after="160" w:line="259" w:lineRule="auto"/>
        <w:rPr>
          <w:rFonts w:eastAsiaTheme="minorHAnsi"/>
          <w:sz w:val="22"/>
          <w:szCs w:val="22"/>
        </w:rPr>
      </w:pPr>
    </w:p>
    <w:p w14:paraId="515669C9" w14:textId="1A2C2C3A" w:rsidR="00EA4CBB" w:rsidRDefault="00EA4CBB" w:rsidP="00276470">
      <w:pPr>
        <w:pStyle w:val="ListParagraph"/>
        <w:numPr>
          <w:ilvl w:val="1"/>
          <w:numId w:val="2"/>
        </w:numPr>
        <w:spacing w:before="0" w:after="160" w:line="259" w:lineRule="auto"/>
        <w:rPr>
          <w:rFonts w:eastAsiaTheme="minorHAnsi"/>
          <w:sz w:val="22"/>
          <w:szCs w:val="22"/>
        </w:rPr>
      </w:pPr>
      <w:r w:rsidRPr="00276470">
        <w:rPr>
          <w:rFonts w:eastAsiaTheme="minorHAnsi"/>
          <w:sz w:val="22"/>
          <w:szCs w:val="22"/>
        </w:rPr>
        <w:t>The remaining elections costs are due on 20</w:t>
      </w:r>
      <w:r w:rsidRPr="00276470">
        <w:rPr>
          <w:rFonts w:eastAsiaTheme="minorHAnsi"/>
          <w:sz w:val="22"/>
          <w:szCs w:val="22"/>
          <w:vertAlign w:val="superscript"/>
        </w:rPr>
        <w:t>th</w:t>
      </w:r>
      <w:r w:rsidRPr="00276470">
        <w:rPr>
          <w:rFonts w:eastAsiaTheme="minorHAnsi"/>
          <w:sz w:val="22"/>
          <w:szCs w:val="22"/>
        </w:rPr>
        <w:t xml:space="preserve"> April and there </w:t>
      </w:r>
      <w:r w:rsidR="008E7DA3">
        <w:rPr>
          <w:rFonts w:eastAsiaTheme="minorHAnsi"/>
          <w:sz w:val="22"/>
          <w:szCs w:val="22"/>
        </w:rPr>
        <w:t xml:space="preserve">should be </w:t>
      </w:r>
      <w:r w:rsidR="008664B2">
        <w:rPr>
          <w:rFonts w:eastAsiaTheme="minorHAnsi"/>
          <w:sz w:val="22"/>
          <w:szCs w:val="22"/>
        </w:rPr>
        <w:t xml:space="preserve"> </w:t>
      </w:r>
      <w:r w:rsidRPr="00276470">
        <w:rPr>
          <w:rFonts w:eastAsiaTheme="minorHAnsi"/>
          <w:sz w:val="22"/>
          <w:szCs w:val="22"/>
        </w:rPr>
        <w:t xml:space="preserve">sufficient funds to </w:t>
      </w:r>
      <w:r w:rsidR="00276470" w:rsidRPr="00276470">
        <w:rPr>
          <w:rFonts w:eastAsiaTheme="minorHAnsi"/>
          <w:sz w:val="22"/>
          <w:szCs w:val="22"/>
        </w:rPr>
        <w:t xml:space="preserve">make that payment. </w:t>
      </w:r>
    </w:p>
    <w:p w14:paraId="30624D3B" w14:textId="77777777" w:rsidR="008710A8" w:rsidRDefault="008710A8" w:rsidP="008710A8">
      <w:pPr>
        <w:pStyle w:val="ListParagraph"/>
        <w:spacing w:before="0" w:after="160" w:line="259" w:lineRule="auto"/>
        <w:rPr>
          <w:rFonts w:eastAsiaTheme="minorHAnsi"/>
          <w:sz w:val="22"/>
          <w:szCs w:val="22"/>
        </w:rPr>
      </w:pPr>
    </w:p>
    <w:p w14:paraId="5C216034" w14:textId="11871423" w:rsidR="008710A8" w:rsidRPr="008710A8" w:rsidRDefault="008710A8" w:rsidP="008710A8">
      <w:pPr>
        <w:pStyle w:val="ListParagraph"/>
        <w:numPr>
          <w:ilvl w:val="1"/>
          <w:numId w:val="2"/>
        </w:numPr>
        <w:spacing w:before="0" w:after="160" w:line="259" w:lineRule="auto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The Clerk now has to prepare an Annual Governance Statement in a prescribed format for approval by Council at its annual meeting and to submit this an</w:t>
      </w:r>
      <w:r w:rsidR="000741AC">
        <w:rPr>
          <w:rFonts w:eastAsiaTheme="minorHAnsi"/>
          <w:sz w:val="22"/>
          <w:szCs w:val="22"/>
        </w:rPr>
        <w:t>d</w:t>
      </w:r>
      <w:r>
        <w:rPr>
          <w:rFonts w:eastAsiaTheme="minorHAnsi"/>
          <w:sz w:val="22"/>
          <w:szCs w:val="22"/>
        </w:rPr>
        <w:t xml:space="preserve"> other material to the external auditor by 1</w:t>
      </w:r>
      <w:r w:rsidRPr="008710A8">
        <w:rPr>
          <w:rFonts w:eastAsiaTheme="minorHAnsi"/>
          <w:sz w:val="22"/>
          <w:szCs w:val="22"/>
          <w:vertAlign w:val="superscript"/>
        </w:rPr>
        <w:t>st</w:t>
      </w:r>
      <w:r>
        <w:rPr>
          <w:rFonts w:eastAsiaTheme="minorHAnsi"/>
          <w:sz w:val="22"/>
          <w:szCs w:val="22"/>
        </w:rPr>
        <w:t xml:space="preserve"> July 2022. </w:t>
      </w:r>
      <w:r w:rsidR="000741AC">
        <w:rPr>
          <w:rFonts w:eastAsiaTheme="minorHAnsi"/>
          <w:sz w:val="22"/>
          <w:szCs w:val="22"/>
        </w:rPr>
        <w:t xml:space="preserve"> The internal auditor will also need to submit her report during  that timetable and </w:t>
      </w:r>
      <w:r w:rsidR="0018640C">
        <w:rPr>
          <w:rFonts w:eastAsiaTheme="minorHAnsi"/>
          <w:sz w:val="22"/>
          <w:szCs w:val="22"/>
        </w:rPr>
        <w:t>A</w:t>
      </w:r>
      <w:r w:rsidR="000741AC">
        <w:rPr>
          <w:rFonts w:eastAsiaTheme="minorHAnsi"/>
          <w:sz w:val="22"/>
          <w:szCs w:val="22"/>
        </w:rPr>
        <w:t xml:space="preserve">nnual Council will also be asked to approve the appointment of an internal auditor for the 22/23 financial year. </w:t>
      </w:r>
    </w:p>
    <w:p w14:paraId="13FDD7C1" w14:textId="77777777" w:rsidR="00C23856" w:rsidRDefault="00C23856" w:rsidP="00C23856">
      <w:pPr>
        <w:pStyle w:val="ListParagraph"/>
        <w:spacing w:before="0" w:after="160" w:line="259" w:lineRule="auto"/>
        <w:rPr>
          <w:rFonts w:eastAsiaTheme="minorHAnsi"/>
          <w:sz w:val="22"/>
          <w:szCs w:val="22"/>
        </w:rPr>
      </w:pPr>
    </w:p>
    <w:p w14:paraId="33885FD0" w14:textId="77777777" w:rsidR="000B7271" w:rsidRPr="00A02F96" w:rsidRDefault="000B7271" w:rsidP="00A02F96">
      <w:pPr>
        <w:spacing w:before="0" w:after="160" w:line="259" w:lineRule="auto"/>
        <w:ind w:left="720"/>
        <w:contextualSpacing/>
        <w:rPr>
          <w:rFonts w:eastAsiaTheme="minorHAnsi"/>
          <w:sz w:val="22"/>
          <w:szCs w:val="22"/>
        </w:rPr>
      </w:pPr>
    </w:p>
    <w:p w14:paraId="67EA0A38" w14:textId="77777777" w:rsidR="00A02F96" w:rsidRPr="00A02F96" w:rsidRDefault="00A02F96" w:rsidP="00A02F96">
      <w:pPr>
        <w:spacing w:before="0" w:after="160" w:line="259" w:lineRule="auto"/>
        <w:ind w:left="720"/>
        <w:contextualSpacing/>
        <w:rPr>
          <w:rFonts w:eastAsiaTheme="minorHAnsi"/>
          <w:sz w:val="22"/>
          <w:szCs w:val="22"/>
        </w:rPr>
      </w:pPr>
    </w:p>
    <w:p w14:paraId="7CD78EBA" w14:textId="77777777" w:rsidR="002E0927" w:rsidRDefault="002E0927" w:rsidP="00A02F96">
      <w:pPr>
        <w:spacing w:before="0" w:after="160" w:line="259" w:lineRule="auto"/>
        <w:rPr>
          <w:rFonts w:eastAsiaTheme="minorHAnsi"/>
          <w:sz w:val="22"/>
          <w:szCs w:val="22"/>
          <w:u w:val="single"/>
        </w:rPr>
      </w:pPr>
    </w:p>
    <w:p w14:paraId="256B7C18" w14:textId="77777777" w:rsidR="002E0927" w:rsidRDefault="002E0927" w:rsidP="00A02F96">
      <w:pPr>
        <w:pBdr>
          <w:bottom w:val="single" w:sz="12" w:space="1" w:color="auto"/>
        </w:pBdr>
        <w:spacing w:before="0" w:after="160" w:line="259" w:lineRule="auto"/>
        <w:rPr>
          <w:rFonts w:eastAsiaTheme="minorHAnsi"/>
          <w:sz w:val="22"/>
          <w:szCs w:val="22"/>
          <w:u w:val="single"/>
        </w:rPr>
      </w:pPr>
    </w:p>
    <w:p w14:paraId="44583278" w14:textId="1E800F23" w:rsidR="00270665" w:rsidRPr="00270665" w:rsidRDefault="00270665" w:rsidP="00A02F96">
      <w:pPr>
        <w:spacing w:before="0" w:after="160" w:line="259" w:lineRule="auto"/>
        <w:rPr>
          <w:rFonts w:eastAsiaTheme="minorHAnsi"/>
          <w:sz w:val="16"/>
          <w:szCs w:val="16"/>
        </w:rPr>
      </w:pPr>
      <w:r w:rsidRPr="00270665">
        <w:rPr>
          <w:rFonts w:eastAsiaTheme="minorHAnsi"/>
          <w:sz w:val="16"/>
          <w:szCs w:val="16"/>
        </w:rPr>
        <w:t>07/04/2022</w:t>
      </w:r>
    </w:p>
    <w:p w14:paraId="66297030" w14:textId="77777777" w:rsidR="00A02F96" w:rsidRPr="00A02F96" w:rsidRDefault="00A02F96" w:rsidP="00A02F96">
      <w:pPr>
        <w:spacing w:before="0" w:after="160" w:line="259" w:lineRule="auto"/>
        <w:rPr>
          <w:rFonts w:eastAsiaTheme="minorHAnsi"/>
          <w:sz w:val="22"/>
          <w:szCs w:val="22"/>
          <w:u w:val="single"/>
        </w:rPr>
      </w:pPr>
    </w:p>
    <w:p w14:paraId="5EC1C504" w14:textId="77777777" w:rsidR="00A02F96" w:rsidRPr="00A02F96" w:rsidRDefault="00A02F96" w:rsidP="00A02F96">
      <w:pPr>
        <w:numPr>
          <w:ilvl w:val="1"/>
          <w:numId w:val="2"/>
        </w:numPr>
        <w:spacing w:before="0" w:after="160" w:line="259" w:lineRule="auto"/>
        <w:contextualSpacing/>
        <w:rPr>
          <w:rFonts w:eastAsiaTheme="minorHAnsi"/>
          <w:sz w:val="22"/>
          <w:szCs w:val="22"/>
        </w:rPr>
      </w:pPr>
      <w:r w:rsidRPr="00A02F96">
        <w:rPr>
          <w:rFonts w:eastAsiaTheme="minorHAnsi"/>
          <w:sz w:val="22"/>
          <w:szCs w:val="22"/>
        </w:rPr>
        <w:br w:type="page"/>
      </w:r>
    </w:p>
    <w:p w14:paraId="4AB013A7" w14:textId="77777777" w:rsidR="00A02F96" w:rsidRPr="00A02F96" w:rsidRDefault="00A02F96" w:rsidP="00A02F96">
      <w:pPr>
        <w:spacing w:before="0" w:after="160" w:line="259" w:lineRule="auto"/>
        <w:ind w:left="720"/>
        <w:contextualSpacing/>
        <w:rPr>
          <w:rFonts w:eastAsiaTheme="minorHAnsi"/>
          <w:sz w:val="22"/>
          <w:szCs w:val="22"/>
        </w:rPr>
      </w:pPr>
    </w:p>
    <w:p w14:paraId="39BC394C" w14:textId="77777777" w:rsidR="00A02F96" w:rsidRPr="00A02F96" w:rsidRDefault="00A02F96" w:rsidP="00A02F96">
      <w:pPr>
        <w:spacing w:before="0" w:after="160" w:line="259" w:lineRule="auto"/>
        <w:rPr>
          <w:rFonts w:eastAsiaTheme="minorHAnsi"/>
          <w:sz w:val="22"/>
          <w:szCs w:val="22"/>
        </w:rPr>
      </w:pPr>
    </w:p>
    <w:p w14:paraId="04EEE68A" w14:textId="77777777" w:rsidR="00A02F96" w:rsidRPr="00A02F96" w:rsidRDefault="00A02F96" w:rsidP="00A02F96">
      <w:pPr>
        <w:spacing w:before="0" w:after="160" w:line="259" w:lineRule="auto"/>
        <w:rPr>
          <w:rFonts w:eastAsiaTheme="minorHAnsi"/>
          <w:sz w:val="22"/>
          <w:szCs w:val="22"/>
        </w:rPr>
      </w:pPr>
    </w:p>
    <w:p w14:paraId="5C0EEC03" w14:textId="77777777" w:rsidR="00A02F96" w:rsidRPr="00A02F96" w:rsidRDefault="00A02F96" w:rsidP="00A02F96">
      <w:pPr>
        <w:spacing w:before="0" w:after="160" w:line="259" w:lineRule="auto"/>
        <w:rPr>
          <w:rFonts w:eastAsiaTheme="minorHAnsi"/>
          <w:sz w:val="22"/>
          <w:szCs w:val="22"/>
        </w:rPr>
      </w:pPr>
      <w:r w:rsidRPr="00A02F96">
        <w:rPr>
          <w:rFonts w:eastAsiaTheme="minorHAnsi"/>
          <w:sz w:val="22"/>
          <w:szCs w:val="22"/>
        </w:rPr>
        <w:tab/>
      </w:r>
    </w:p>
    <w:sectPr w:rsidR="00A02F96" w:rsidRPr="00A02F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71595"/>
    <w:multiLevelType w:val="hybridMultilevel"/>
    <w:tmpl w:val="4F38732E"/>
    <w:lvl w:ilvl="0" w:tplc="396E9BD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F2106C"/>
    <w:multiLevelType w:val="hybridMultilevel"/>
    <w:tmpl w:val="63E49764"/>
    <w:lvl w:ilvl="0" w:tplc="186A0878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51B2FD1"/>
    <w:multiLevelType w:val="multilevel"/>
    <w:tmpl w:val="0BCCEF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E4917BC"/>
    <w:multiLevelType w:val="hybridMultilevel"/>
    <w:tmpl w:val="B7C6B4EE"/>
    <w:lvl w:ilvl="0" w:tplc="7CFC385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B55AB7"/>
    <w:multiLevelType w:val="multilevel"/>
    <w:tmpl w:val="B358DA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5" w15:restartNumberingAfterBreak="0">
    <w:nsid w:val="672A04E7"/>
    <w:multiLevelType w:val="hybridMultilevel"/>
    <w:tmpl w:val="6F662468"/>
    <w:lvl w:ilvl="0" w:tplc="D5FEEE7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CE7FA5"/>
    <w:multiLevelType w:val="hybridMultilevel"/>
    <w:tmpl w:val="5F0A88CC"/>
    <w:lvl w:ilvl="0" w:tplc="EA30DC6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F851C7B"/>
    <w:multiLevelType w:val="hybridMultilevel"/>
    <w:tmpl w:val="AFC21A2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550386466">
    <w:abstractNumId w:val="6"/>
  </w:num>
  <w:num w:numId="2" w16cid:durableId="562644203">
    <w:abstractNumId w:val="2"/>
  </w:num>
  <w:num w:numId="3" w16cid:durableId="951090047">
    <w:abstractNumId w:val="0"/>
  </w:num>
  <w:num w:numId="4" w16cid:durableId="1472867918">
    <w:abstractNumId w:val="4"/>
  </w:num>
  <w:num w:numId="5" w16cid:durableId="54399213">
    <w:abstractNumId w:val="1"/>
  </w:num>
  <w:num w:numId="6" w16cid:durableId="904923541">
    <w:abstractNumId w:val="3"/>
  </w:num>
  <w:num w:numId="7" w16cid:durableId="985625814">
    <w:abstractNumId w:val="7"/>
  </w:num>
  <w:num w:numId="8" w16cid:durableId="10158866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A2"/>
    <w:rsid w:val="000317D1"/>
    <w:rsid w:val="00046F7D"/>
    <w:rsid w:val="000741AC"/>
    <w:rsid w:val="000B7271"/>
    <w:rsid w:val="000F50BD"/>
    <w:rsid w:val="0018640C"/>
    <w:rsid w:val="00193552"/>
    <w:rsid w:val="001A3481"/>
    <w:rsid w:val="001C7EF6"/>
    <w:rsid w:val="001D67C5"/>
    <w:rsid w:val="001E039B"/>
    <w:rsid w:val="00270665"/>
    <w:rsid w:val="00276470"/>
    <w:rsid w:val="00280A4C"/>
    <w:rsid w:val="002E0927"/>
    <w:rsid w:val="002E4DE1"/>
    <w:rsid w:val="003172CA"/>
    <w:rsid w:val="00335086"/>
    <w:rsid w:val="00346876"/>
    <w:rsid w:val="0036701A"/>
    <w:rsid w:val="003739CA"/>
    <w:rsid w:val="00383A86"/>
    <w:rsid w:val="003B54B9"/>
    <w:rsid w:val="003B6D9B"/>
    <w:rsid w:val="003C64AF"/>
    <w:rsid w:val="003D4863"/>
    <w:rsid w:val="003E4FA6"/>
    <w:rsid w:val="00400E6E"/>
    <w:rsid w:val="00407FD5"/>
    <w:rsid w:val="00474196"/>
    <w:rsid w:val="004A2EC0"/>
    <w:rsid w:val="004A4EEC"/>
    <w:rsid w:val="00532769"/>
    <w:rsid w:val="00532B78"/>
    <w:rsid w:val="005450EB"/>
    <w:rsid w:val="005A012E"/>
    <w:rsid w:val="005C0BA0"/>
    <w:rsid w:val="006A2CF4"/>
    <w:rsid w:val="006B721A"/>
    <w:rsid w:val="006C2DFB"/>
    <w:rsid w:val="00701866"/>
    <w:rsid w:val="0072793E"/>
    <w:rsid w:val="00774B51"/>
    <w:rsid w:val="00781EEC"/>
    <w:rsid w:val="007955DF"/>
    <w:rsid w:val="007A2D60"/>
    <w:rsid w:val="007D5EE6"/>
    <w:rsid w:val="008064EF"/>
    <w:rsid w:val="00861BBC"/>
    <w:rsid w:val="008664B2"/>
    <w:rsid w:val="008710A8"/>
    <w:rsid w:val="00874E10"/>
    <w:rsid w:val="008A2B84"/>
    <w:rsid w:val="008E7DA3"/>
    <w:rsid w:val="008F5E77"/>
    <w:rsid w:val="009631E0"/>
    <w:rsid w:val="00964475"/>
    <w:rsid w:val="00975B28"/>
    <w:rsid w:val="00976E94"/>
    <w:rsid w:val="00A02F96"/>
    <w:rsid w:val="00A035BA"/>
    <w:rsid w:val="00A74A86"/>
    <w:rsid w:val="00AC0A24"/>
    <w:rsid w:val="00AE3134"/>
    <w:rsid w:val="00AF37F1"/>
    <w:rsid w:val="00B27CFD"/>
    <w:rsid w:val="00B52480"/>
    <w:rsid w:val="00B73265"/>
    <w:rsid w:val="00B86C2A"/>
    <w:rsid w:val="00B93CBE"/>
    <w:rsid w:val="00BD11E5"/>
    <w:rsid w:val="00C15E46"/>
    <w:rsid w:val="00C201B8"/>
    <w:rsid w:val="00C23856"/>
    <w:rsid w:val="00C44376"/>
    <w:rsid w:val="00C5383E"/>
    <w:rsid w:val="00C927BB"/>
    <w:rsid w:val="00C96962"/>
    <w:rsid w:val="00CC3F14"/>
    <w:rsid w:val="00CC78DC"/>
    <w:rsid w:val="00CC78F2"/>
    <w:rsid w:val="00D07860"/>
    <w:rsid w:val="00D51DAF"/>
    <w:rsid w:val="00D67346"/>
    <w:rsid w:val="00D727A9"/>
    <w:rsid w:val="00D912A2"/>
    <w:rsid w:val="00DA0C17"/>
    <w:rsid w:val="00DB1064"/>
    <w:rsid w:val="00DB4839"/>
    <w:rsid w:val="00DB4A05"/>
    <w:rsid w:val="00DC7803"/>
    <w:rsid w:val="00DD0543"/>
    <w:rsid w:val="00DF05E3"/>
    <w:rsid w:val="00DF76BC"/>
    <w:rsid w:val="00E508C5"/>
    <w:rsid w:val="00E61071"/>
    <w:rsid w:val="00E641B4"/>
    <w:rsid w:val="00E9527E"/>
    <w:rsid w:val="00E9719A"/>
    <w:rsid w:val="00EA068E"/>
    <w:rsid w:val="00EA2CE0"/>
    <w:rsid w:val="00EA4CBB"/>
    <w:rsid w:val="00EB1412"/>
    <w:rsid w:val="00EB2060"/>
    <w:rsid w:val="00ED35CD"/>
    <w:rsid w:val="00ED76F4"/>
    <w:rsid w:val="00EF3407"/>
    <w:rsid w:val="00F11FB1"/>
    <w:rsid w:val="00F507C5"/>
    <w:rsid w:val="00F8414C"/>
    <w:rsid w:val="00FA254C"/>
    <w:rsid w:val="00FA3B92"/>
    <w:rsid w:val="00FA4DD4"/>
    <w:rsid w:val="00FE1122"/>
    <w:rsid w:val="00FF08CA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12F24"/>
  <w15:chartTrackingRefBased/>
  <w15:docId w15:val="{2AFD2087-D067-4878-8A6A-ACB93FE3C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2A2"/>
  </w:style>
  <w:style w:type="paragraph" w:styleId="Heading1">
    <w:name w:val="heading 1"/>
    <w:basedOn w:val="Normal"/>
    <w:next w:val="Normal"/>
    <w:link w:val="Heading1Char"/>
    <w:uiPriority w:val="9"/>
    <w:qFormat/>
    <w:rsid w:val="00D912A2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12A2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12A2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12A2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12A2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12A2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12A2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12A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12A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12A2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12A2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12A2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12A2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12A2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12A2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12A2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12A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12A2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912A2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912A2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12A2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12A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D912A2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D912A2"/>
    <w:rPr>
      <w:b/>
      <w:bCs/>
    </w:rPr>
  </w:style>
  <w:style w:type="character" w:styleId="Emphasis">
    <w:name w:val="Emphasis"/>
    <w:uiPriority w:val="20"/>
    <w:qFormat/>
    <w:rsid w:val="00D912A2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D912A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912A2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912A2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12A2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12A2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D912A2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D912A2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D912A2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D912A2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D912A2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12A2"/>
    <w:pPr>
      <w:outlineLvl w:val="9"/>
    </w:pPr>
  </w:style>
  <w:style w:type="table" w:styleId="TableGrid">
    <w:name w:val="Table Grid"/>
    <w:basedOn w:val="TableNormal"/>
    <w:uiPriority w:val="39"/>
    <w:rsid w:val="00A02F96"/>
    <w:pPr>
      <w:spacing w:before="0"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customXml" Target="ink/ink2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10-04T11:22:06.61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12528 0 0,'0'0'1368'0'0,"2"5"-5064"0"0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10-04T11:22:04.048"/>
    </inkml:context>
    <inkml:brush xml:id="br0">
      <inkml:brushProperty name="width" value="0.04997" units="cm"/>
      <inkml:brushProperty name="height" value="0.04997" units="cm"/>
    </inkml:brush>
    <inkml:brush xml:id="br1">
      <inkml:brushProperty name="width" value="0.05" units="cm"/>
      <inkml:brushProperty name="height" value="0.05" units="cm"/>
    </inkml:brush>
  </inkml:definitions>
  <inkml:trace contextRef="#ctx0" brushRef="#br0">1 10 10424 0 0,'0'0'1080'0'0,"4"0"-1016"0"0,0-2-64 0 0,9-2 0 0 0,-2 0 0 0 0</inkml:trace>
  <inkml:trace contextRef="#ctx0" brushRef="#br1" timeOffset="1567.55">131 59 13016 0 0,'-7'-8'288'0'0,"-2"3"56"0"0,3 1 8 0 0,-1 0 16 0 0,1 2-296 0 0,8-2-296 0 0,2 2-56 0 0,3 1-8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7DE79C03D4544CA67255BA7A87DD59" ma:contentTypeVersion="12" ma:contentTypeDescription="Create a new document." ma:contentTypeScope="" ma:versionID="294c1f021032b520d735f8e8c182fc97">
  <xsd:schema xmlns:xsd="http://www.w3.org/2001/XMLSchema" xmlns:xs="http://www.w3.org/2001/XMLSchema" xmlns:p="http://schemas.microsoft.com/office/2006/metadata/properties" xmlns:ns2="8a79b042-d511-46e5-ad15-39d624c98353" xmlns:ns3="51fcad13-9fe1-4b05-83cd-be575274fc3f" targetNamespace="http://schemas.microsoft.com/office/2006/metadata/properties" ma:root="true" ma:fieldsID="ff333c79f3eb6d31eaa2eca76f4bff10" ns2:_="" ns3:_="">
    <xsd:import namespace="8a79b042-d511-46e5-ad15-39d624c98353"/>
    <xsd:import namespace="51fcad13-9fe1-4b05-83cd-be575274fc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9b042-d511-46e5-ad15-39d624c983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cad13-9fe1-4b05-83cd-be575274fc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EEC6E3-4212-43E1-B59F-A85347B16E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79b042-d511-46e5-ad15-39d624c98353"/>
    <ds:schemaRef ds:uri="51fcad13-9fe1-4b05-83cd-be575274fc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28B329-8C09-49E5-ADB9-20C0F575A9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BF2547-3503-49FE-ADAA-709051BFCE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Hammond</dc:creator>
  <cp:keywords/>
  <dc:description/>
  <cp:lastModifiedBy>Martin Hammond, Kettering Town Council</cp:lastModifiedBy>
  <cp:revision>43</cp:revision>
  <dcterms:created xsi:type="dcterms:W3CDTF">2022-03-29T14:48:00Z</dcterms:created>
  <dcterms:modified xsi:type="dcterms:W3CDTF">2022-04-04T09:43:00Z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0x0101005E7DE79C03D4544CA67255BA7A87DD59</vt:lpwstr>
  </property>
</Properties>
</file>